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jc w:val="center"/>
        <w:rPr>
          <w:b w:val="1"/>
          <w:color w:val="ff95a5"/>
          <w:sz w:val="48"/>
          <w:szCs w:val="48"/>
        </w:rPr>
      </w:pPr>
      <w:r w:rsidDel="00000000" w:rsidR="00000000" w:rsidRPr="00000000">
        <w:rPr>
          <w:b w:val="1"/>
          <w:color w:val="ff95a5"/>
          <w:sz w:val="48"/>
          <w:szCs w:val="48"/>
          <w:rtl w:val="0"/>
        </w:rPr>
        <w:t xml:space="preserve">Legal Case Study - Questions &amp; Approaches</w:t>
      </w:r>
    </w:p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Depending on numbers, there will either be enough committee members to have one-on-one interview-style discussions of the case study, or more likely, you will work in small groups. 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One-on-one</w:t>
      </w:r>
      <w:r w:rsidDel="00000000" w:rsidR="00000000" w:rsidRPr="00000000">
        <w:rPr>
          <w:rtl w:val="0"/>
        </w:rPr>
        <w:t xml:space="preserve">: ask them to read through all of the material, and come up with an answer to the task (no more than 5 mins). Then ask them questions: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they supported the acquisition, what negatives did they not pick up? Push them on certain aspects.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they did not support the acquisition, what positives did they not recognise?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After 10 or so minutes, tell them that the client has decided against their advice; what could they do to help the client in their next steps? </w:t>
      </w:r>
    </w:p>
    <w:p w:rsidR="00000000" w:rsidDel="00000000" w:rsidP="00000000" w:rsidRDefault="00000000" w:rsidRPr="00000000" w14:paraId="00000008">
      <w:pPr>
        <w:ind w:lef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Group task</w:t>
      </w:r>
      <w:r w:rsidDel="00000000" w:rsidR="00000000" w:rsidRPr="00000000">
        <w:rPr>
          <w:rtl w:val="0"/>
        </w:rPr>
        <w:t xml:space="preserve">: Read the situation to them.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 them to read page 1, and then ask the group what they think about the acquisition now they have that information to hand.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Highlight anything they haven’t called attention to, using the guide. Make sure they have all calculated the numbers correctly.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 through page 2 &amp; 3 in a similar manner.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At the end, ask them what they think about the deal overall.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 the group what they would do if the client decided against their advice.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Draw attention to the ideas of a buoyant market (i.e. the development of driverless cars) vs the issues of a particular company. </w:t>
      </w:r>
    </w:p>
    <w:p w:rsidR="00000000" w:rsidDel="00000000" w:rsidP="00000000" w:rsidRDefault="00000000" w:rsidRPr="00000000" w14:paraId="0000000F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General advice for candidates: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It is better to come down on one side than to simply list the positives and negatives. Approaching the contradictory evidence in a constructive way (i.e. if there is a problem, but you would still like to acquire the company, how would you fix it?) is better than not acknowledging the problem, or dismissing it as inconsequential. 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  <w:t xml:space="preserve">Remember to structure your answers, in particular if you are asked to give a short presentation. If you are given a list of tasks, it is important to complete all of them, even if your responses are short. </w:t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  <w:t xml:space="preserve">You will likely be time-pressured. Assess how many pages you have to read, then organise your time accordingly. It is better to cover everything in a shallow way, rather than a few things deeply. 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  <w:t xml:space="preserve">Candidates should think about: 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Supply &amp; demand; Competition; Pricing; Regulatory issues; Location, premises &amp; leases; Branding &amp; identity; Marketing &amp; advertising; Staff</w:t>
      </w:r>
    </w:p>
    <w:p w:rsidR="00000000" w:rsidDel="00000000" w:rsidP="00000000" w:rsidRDefault="00000000" w:rsidRPr="00000000" w14:paraId="00000015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_GB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  <w:jc w:val="center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="240" w:lineRule="auto"/>
      <w:jc w:val="center"/>
    </w:pPr>
    <w:rPr>
      <w:rFonts w:ascii="Libre Baskerville" w:cs="Libre Baskerville" w:eastAsia="Libre Baskerville" w:hAnsi="Libre Baskerville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